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D60" w:rsidRPr="00A94D60" w:rsidRDefault="00A94D60" w:rsidP="00A94D60">
      <w:pPr>
        <w:spacing w:after="0" w:line="240" w:lineRule="auto"/>
        <w:jc w:val="center"/>
        <w:rPr>
          <w:rFonts w:eastAsia="Times New Roman" w:cstheme="minorHAnsi"/>
          <w:b/>
          <w:u w:val="single"/>
          <w:lang w:val="es-ES" w:eastAsia="es-AR"/>
        </w:rPr>
      </w:pPr>
      <w:r w:rsidRPr="00A94D60">
        <w:rPr>
          <w:rFonts w:eastAsia="Times New Roman" w:cstheme="minorHAnsi"/>
          <w:b/>
          <w:u w:val="single"/>
          <w:lang w:val="es-ES" w:eastAsia="es-AR"/>
        </w:rPr>
        <w:t xml:space="preserve">SITUACIONES QUE PRODUCEN LA EXCLUSION AUTOMATICA DEL </w:t>
      </w:r>
      <w:bookmarkStart w:id="0" w:name="_GoBack"/>
      <w:bookmarkEnd w:id="0"/>
      <w:r w:rsidRPr="00A94D60">
        <w:rPr>
          <w:rFonts w:eastAsia="Times New Roman" w:cstheme="minorHAnsi"/>
          <w:b/>
          <w:u w:val="single"/>
          <w:lang w:val="es-ES" w:eastAsia="es-AR"/>
        </w:rPr>
        <w:t>MONOTRIBUTO</w:t>
      </w:r>
    </w:p>
    <w:p w:rsidR="00A94D60" w:rsidRDefault="00A94D60" w:rsidP="00837746">
      <w:pPr>
        <w:spacing w:after="0" w:line="240" w:lineRule="auto"/>
        <w:jc w:val="both"/>
        <w:rPr>
          <w:rFonts w:eastAsia="Times New Roman" w:cstheme="minorHAnsi"/>
          <w:lang w:val="es-ES" w:eastAsia="es-AR"/>
        </w:rPr>
      </w:pPr>
    </w:p>
    <w:p w:rsidR="00837746" w:rsidRPr="00837746" w:rsidRDefault="00837746" w:rsidP="00837746">
      <w:pPr>
        <w:spacing w:after="0" w:line="240" w:lineRule="auto"/>
        <w:jc w:val="both"/>
        <w:rPr>
          <w:rFonts w:eastAsia="Times New Roman" w:cstheme="minorHAnsi"/>
          <w:lang w:eastAsia="es-AR"/>
        </w:rPr>
      </w:pPr>
      <w:r w:rsidRPr="00837746">
        <w:rPr>
          <w:rFonts w:eastAsia="Times New Roman" w:cstheme="minorHAnsi"/>
          <w:lang w:val="es-ES" w:eastAsia="es-AR"/>
        </w:rPr>
        <w:t xml:space="preserve">Los </w:t>
      </w:r>
      <w:proofErr w:type="spellStart"/>
      <w:r w:rsidRPr="00837746">
        <w:rPr>
          <w:rFonts w:eastAsia="Times New Roman" w:cstheme="minorHAnsi"/>
          <w:lang w:val="es-ES" w:eastAsia="es-AR"/>
        </w:rPr>
        <w:t>monotributistas</w:t>
      </w:r>
      <w:proofErr w:type="spellEnd"/>
      <w:r w:rsidRPr="00837746">
        <w:rPr>
          <w:rFonts w:eastAsia="Times New Roman" w:cstheme="minorHAnsi"/>
          <w:lang w:val="es-ES" w:eastAsia="es-AR"/>
        </w:rPr>
        <w:t xml:space="preserve"> quedarán excluidos cuando ocurra alguna de las siguientes situaciones:</w:t>
      </w:r>
    </w:p>
    <w:p w:rsidR="00837746" w:rsidRPr="00837746" w:rsidRDefault="00837746" w:rsidP="00837746">
      <w:pPr>
        <w:spacing w:after="0" w:line="240" w:lineRule="auto"/>
        <w:ind w:left="360" w:hanging="360"/>
        <w:jc w:val="both"/>
        <w:rPr>
          <w:rFonts w:eastAsia="Times New Roman" w:cstheme="minorHAnsi"/>
          <w:lang w:eastAsia="es-AR"/>
        </w:rPr>
      </w:pPr>
      <w:r w:rsidRPr="00837746">
        <w:rPr>
          <w:rFonts w:eastAsia="Times New Roman" w:cstheme="minorHAnsi"/>
          <w:lang w:val="es-ES" w:eastAsia="es-AR"/>
        </w:rPr>
        <w:t xml:space="preserve">a) La suma de los ingresos brutos obtenidos como </w:t>
      </w:r>
      <w:proofErr w:type="spellStart"/>
      <w:r w:rsidRPr="00837746">
        <w:rPr>
          <w:rFonts w:eastAsia="Times New Roman" w:cstheme="minorHAnsi"/>
          <w:lang w:val="es-ES" w:eastAsia="es-AR"/>
        </w:rPr>
        <w:t>monotributista</w:t>
      </w:r>
      <w:proofErr w:type="spellEnd"/>
      <w:r w:rsidRPr="00837746">
        <w:rPr>
          <w:rFonts w:eastAsia="Times New Roman" w:cstheme="minorHAnsi"/>
          <w:lang w:val="es-ES" w:eastAsia="es-AR"/>
        </w:rPr>
        <w:t xml:space="preserve"> en los últimos doce meses, superen el límite máximo para ser </w:t>
      </w:r>
      <w:proofErr w:type="spellStart"/>
      <w:r w:rsidRPr="00837746">
        <w:rPr>
          <w:rFonts w:eastAsia="Times New Roman" w:cstheme="minorHAnsi"/>
          <w:lang w:val="es-ES" w:eastAsia="es-AR"/>
        </w:rPr>
        <w:t>monotributista</w:t>
      </w:r>
      <w:proofErr w:type="spellEnd"/>
      <w:r w:rsidRPr="00837746">
        <w:rPr>
          <w:rFonts w:eastAsia="Times New Roman" w:cstheme="minorHAnsi"/>
          <w:lang w:val="es-ES" w:eastAsia="es-AR"/>
        </w:rPr>
        <w:t>. Este cálculo debe realizarse en cada nuevo ingreso que se reciba, sumándolo a lo que haya recibido en los 12 meses anteriores.</w:t>
      </w:r>
    </w:p>
    <w:p w:rsidR="00837746" w:rsidRPr="00837746" w:rsidRDefault="00837746" w:rsidP="00837746">
      <w:pPr>
        <w:spacing w:after="0" w:line="240" w:lineRule="auto"/>
        <w:ind w:left="360" w:hanging="360"/>
        <w:jc w:val="both"/>
        <w:rPr>
          <w:rFonts w:eastAsia="Times New Roman" w:cstheme="minorHAnsi"/>
          <w:lang w:eastAsia="es-AR"/>
        </w:rPr>
      </w:pPr>
      <w:r w:rsidRPr="00837746">
        <w:rPr>
          <w:rFonts w:eastAsia="Times New Roman" w:cstheme="minorHAnsi"/>
          <w:lang w:val="es-ES" w:eastAsia="es-AR"/>
        </w:rPr>
        <w:t>b) Los parámetros físicos (ej.: superficie -mts2- usada en la actividad) o el monto de los alquileres devengados, superen los máximos establecidos.</w:t>
      </w:r>
    </w:p>
    <w:p w:rsidR="00837746" w:rsidRPr="00837746" w:rsidRDefault="00837746" w:rsidP="00837746">
      <w:pPr>
        <w:spacing w:after="0" w:line="240" w:lineRule="auto"/>
        <w:ind w:left="360" w:hanging="360"/>
        <w:jc w:val="both"/>
        <w:rPr>
          <w:rFonts w:eastAsia="Times New Roman" w:cstheme="minorHAnsi"/>
          <w:lang w:eastAsia="es-AR"/>
        </w:rPr>
      </w:pPr>
      <w:r w:rsidRPr="00837746">
        <w:rPr>
          <w:rFonts w:eastAsia="Times New Roman" w:cstheme="minorHAnsi"/>
          <w:lang w:val="es-ES" w:eastAsia="es-AR"/>
        </w:rPr>
        <w:t>c) El precio unitario de venta de cualquier producto (no servicio) que venda, supere los $ 29.119,56</w:t>
      </w:r>
    </w:p>
    <w:p w:rsidR="00837746" w:rsidRPr="00837746" w:rsidRDefault="00837746" w:rsidP="00837746">
      <w:pPr>
        <w:spacing w:after="0" w:line="240" w:lineRule="auto"/>
        <w:ind w:left="360" w:hanging="360"/>
        <w:jc w:val="both"/>
        <w:rPr>
          <w:rFonts w:eastAsia="Times New Roman" w:cstheme="minorHAnsi"/>
          <w:lang w:eastAsia="es-AR"/>
        </w:rPr>
      </w:pPr>
      <w:r w:rsidRPr="00837746">
        <w:rPr>
          <w:rFonts w:eastAsia="Times New Roman" w:cstheme="minorHAnsi"/>
          <w:lang w:val="es-ES" w:eastAsia="es-AR"/>
        </w:rPr>
        <w:t>d) Adquieran bienes o realicen gastos de índole personal, por un valor incompatible con los ingresos declarados, y ellos no se encuentren debidamente justificados por el contribuyente;</w:t>
      </w:r>
    </w:p>
    <w:p w:rsidR="00837746" w:rsidRPr="00837746" w:rsidRDefault="00837746" w:rsidP="00837746">
      <w:pPr>
        <w:spacing w:after="0" w:line="240" w:lineRule="auto"/>
        <w:ind w:left="360" w:hanging="360"/>
        <w:jc w:val="both"/>
        <w:rPr>
          <w:rFonts w:eastAsia="Times New Roman" w:cstheme="minorHAnsi"/>
          <w:lang w:eastAsia="es-AR"/>
        </w:rPr>
      </w:pPr>
      <w:r w:rsidRPr="00837746">
        <w:rPr>
          <w:rFonts w:eastAsia="Times New Roman" w:cstheme="minorHAnsi"/>
          <w:lang w:val="es-ES" w:eastAsia="es-AR"/>
        </w:rPr>
        <w:t>e) Registren depósitos bancarios, por un importe superior al monto de los ingresos brutos anuales máximos admitidos para la categoría en la cual estén encuadrados;</w:t>
      </w:r>
    </w:p>
    <w:p w:rsidR="00837746" w:rsidRPr="00837746" w:rsidRDefault="00837746" w:rsidP="00837746">
      <w:pPr>
        <w:spacing w:after="0" w:line="240" w:lineRule="auto"/>
        <w:ind w:left="360" w:hanging="360"/>
        <w:jc w:val="both"/>
        <w:rPr>
          <w:rFonts w:eastAsia="Times New Roman" w:cstheme="minorHAnsi"/>
          <w:lang w:eastAsia="es-AR"/>
        </w:rPr>
      </w:pPr>
      <w:r w:rsidRPr="00837746">
        <w:rPr>
          <w:rFonts w:eastAsia="Times New Roman" w:cstheme="minorHAnsi"/>
          <w:lang w:val="es-ES" w:eastAsia="es-AR"/>
        </w:rPr>
        <w:t xml:space="preserve">f) Hayan perdido su calidad de </w:t>
      </w:r>
      <w:proofErr w:type="spellStart"/>
      <w:r w:rsidRPr="00837746">
        <w:rPr>
          <w:rFonts w:eastAsia="Times New Roman" w:cstheme="minorHAnsi"/>
          <w:lang w:val="es-ES" w:eastAsia="es-AR"/>
        </w:rPr>
        <w:t>Monotributistas</w:t>
      </w:r>
      <w:proofErr w:type="spellEnd"/>
      <w:r w:rsidRPr="00837746">
        <w:rPr>
          <w:rFonts w:eastAsia="Times New Roman" w:cstheme="minorHAnsi"/>
          <w:lang w:val="es-ES" w:eastAsia="es-AR"/>
        </w:rPr>
        <w:t xml:space="preserve"> o hayan realizado importaciones de cosas muebles y/o de servicios para su posterior comercialización, durante los últimos 12 meses del año calendario;</w:t>
      </w:r>
    </w:p>
    <w:p w:rsidR="00837746" w:rsidRPr="00837746" w:rsidRDefault="00837746" w:rsidP="00837746">
      <w:pPr>
        <w:spacing w:after="0" w:line="240" w:lineRule="auto"/>
        <w:ind w:left="360" w:hanging="360"/>
        <w:jc w:val="both"/>
        <w:rPr>
          <w:rFonts w:eastAsia="Times New Roman" w:cstheme="minorHAnsi"/>
          <w:lang w:eastAsia="es-AR"/>
        </w:rPr>
      </w:pPr>
      <w:r w:rsidRPr="00837746">
        <w:rPr>
          <w:rFonts w:eastAsia="Times New Roman" w:cstheme="minorHAnsi"/>
          <w:lang w:val="es-ES" w:eastAsia="es-AR"/>
        </w:rPr>
        <w:t>g) Realicen más de tres actividades simultáneas o posean más de tres unidades de explotación;</w:t>
      </w:r>
    </w:p>
    <w:p w:rsidR="00837746" w:rsidRPr="00837746" w:rsidRDefault="00837746" w:rsidP="00837746">
      <w:pPr>
        <w:spacing w:after="0" w:line="240" w:lineRule="auto"/>
        <w:ind w:left="360" w:hanging="360"/>
        <w:jc w:val="both"/>
        <w:rPr>
          <w:rFonts w:eastAsia="Times New Roman" w:cstheme="minorHAnsi"/>
          <w:lang w:eastAsia="es-AR"/>
        </w:rPr>
      </w:pPr>
      <w:r w:rsidRPr="00837746">
        <w:rPr>
          <w:rFonts w:eastAsia="Times New Roman" w:cstheme="minorHAnsi"/>
          <w:lang w:val="es-ES" w:eastAsia="es-AR"/>
        </w:rPr>
        <w:t>h) Si realizando locaciones y/o prestaciones de servicios, se hubieran categorizado como si realizaran venta de cosas muebles;</w:t>
      </w:r>
    </w:p>
    <w:p w:rsidR="00837746" w:rsidRPr="00837746" w:rsidRDefault="00837746" w:rsidP="00837746">
      <w:pPr>
        <w:spacing w:after="0" w:line="240" w:lineRule="auto"/>
        <w:ind w:left="360" w:hanging="360"/>
        <w:jc w:val="both"/>
        <w:rPr>
          <w:rFonts w:eastAsia="Times New Roman" w:cstheme="minorHAnsi"/>
          <w:lang w:eastAsia="es-AR"/>
        </w:rPr>
      </w:pPr>
      <w:r w:rsidRPr="00837746">
        <w:rPr>
          <w:rFonts w:eastAsia="Times New Roman" w:cstheme="minorHAnsi"/>
          <w:lang w:val="es-ES" w:eastAsia="es-AR"/>
        </w:rPr>
        <w:t xml:space="preserve">i) Si sus compras o sus ventas o prestaciones de servicios, relacionadas con la actividad de </w:t>
      </w:r>
      <w:proofErr w:type="spellStart"/>
      <w:r w:rsidRPr="00837746">
        <w:rPr>
          <w:rFonts w:eastAsia="Times New Roman" w:cstheme="minorHAnsi"/>
          <w:lang w:val="es-ES" w:eastAsia="es-AR"/>
        </w:rPr>
        <w:t>monotributista</w:t>
      </w:r>
      <w:proofErr w:type="spellEnd"/>
      <w:r w:rsidRPr="00837746">
        <w:rPr>
          <w:rFonts w:eastAsia="Times New Roman" w:cstheme="minorHAnsi"/>
          <w:lang w:val="es-ES" w:eastAsia="es-AR"/>
        </w:rPr>
        <w:t>, no se encuentren respaldadas por las respectivas facturas o documentos equivalentes;</w:t>
      </w:r>
    </w:p>
    <w:p w:rsidR="00837746" w:rsidRPr="00837746" w:rsidRDefault="00837746" w:rsidP="00837746">
      <w:pPr>
        <w:spacing w:after="0" w:line="240" w:lineRule="auto"/>
        <w:ind w:left="360" w:hanging="360"/>
        <w:jc w:val="both"/>
        <w:rPr>
          <w:rFonts w:eastAsia="Times New Roman" w:cstheme="minorHAnsi"/>
          <w:lang w:eastAsia="es-AR"/>
        </w:rPr>
      </w:pPr>
      <w:r w:rsidRPr="00837746">
        <w:rPr>
          <w:rFonts w:eastAsia="Times New Roman" w:cstheme="minorHAnsi"/>
          <w:lang w:val="es-ES" w:eastAsia="es-AR"/>
        </w:rPr>
        <w:t xml:space="preserve">j) El importe de las compras más los gastos inherentes al desarrollo de la actividad de que se trate, efectuados durante los últimos doce meses, sumen por lo menos el 80% de los ingresos brutos máximos establecidos para la categoría K en el caso de venta de productos, </w:t>
      </w:r>
      <w:proofErr w:type="spellStart"/>
      <w:r w:rsidRPr="00837746">
        <w:rPr>
          <w:rFonts w:eastAsia="Times New Roman" w:cstheme="minorHAnsi"/>
          <w:lang w:val="es-ES" w:eastAsia="es-AR"/>
        </w:rPr>
        <w:t>ó</w:t>
      </w:r>
      <w:proofErr w:type="spellEnd"/>
      <w:r w:rsidRPr="00837746">
        <w:rPr>
          <w:rFonts w:eastAsia="Times New Roman" w:cstheme="minorHAnsi"/>
          <w:lang w:val="es-ES" w:eastAsia="es-AR"/>
        </w:rPr>
        <w:t xml:space="preserve"> el 40% de los ingresos brutos establecidos para la categoría H cuando se trate de prestación de servicios.</w:t>
      </w:r>
    </w:p>
    <w:p w:rsidR="00837746" w:rsidRPr="00837746" w:rsidRDefault="00837746" w:rsidP="00837746">
      <w:pPr>
        <w:spacing w:after="0" w:line="240" w:lineRule="auto"/>
        <w:ind w:left="360" w:hanging="360"/>
        <w:jc w:val="both"/>
        <w:rPr>
          <w:rFonts w:eastAsia="Times New Roman" w:cstheme="minorHAnsi"/>
          <w:lang w:eastAsia="es-AR"/>
        </w:rPr>
      </w:pPr>
      <w:r w:rsidRPr="00837746">
        <w:rPr>
          <w:rFonts w:eastAsia="Times New Roman" w:cstheme="minorHAnsi"/>
          <w:lang w:val="es-ES" w:eastAsia="es-AR"/>
        </w:rPr>
        <w:t>k) Resulte incluido en el Registro Público de Empleadores con Sanciones Laborales (REPSAL) desde que la sanción aplicada en su condición de reincidente, quede firme.</w:t>
      </w:r>
    </w:p>
    <w:p w:rsidR="00837746" w:rsidRPr="00837746" w:rsidRDefault="00837746" w:rsidP="00837746">
      <w:pPr>
        <w:spacing w:after="0" w:line="240" w:lineRule="auto"/>
        <w:jc w:val="both"/>
        <w:rPr>
          <w:rFonts w:eastAsia="Times New Roman" w:cstheme="minorHAnsi"/>
          <w:lang w:eastAsia="es-AR"/>
        </w:rPr>
      </w:pPr>
      <w:r w:rsidRPr="00837746">
        <w:rPr>
          <w:rFonts w:eastAsia="Times New Roman" w:cstheme="minorHAnsi"/>
          <w:lang w:eastAsia="es-AR"/>
        </w:rPr>
        <w:t xml:space="preserve">En el caso de las causales indicadas en los puntos i) y j), se </w:t>
      </w:r>
      <w:proofErr w:type="gramStart"/>
      <w:r w:rsidRPr="00837746">
        <w:rPr>
          <w:rFonts w:eastAsia="Times New Roman" w:cstheme="minorHAnsi"/>
          <w:lang w:eastAsia="es-AR"/>
        </w:rPr>
        <w:t>restaran</w:t>
      </w:r>
      <w:proofErr w:type="gramEnd"/>
      <w:r w:rsidRPr="00837746">
        <w:rPr>
          <w:rFonts w:eastAsia="Times New Roman" w:cstheme="minorHAnsi"/>
          <w:lang w:eastAsia="es-AR"/>
        </w:rPr>
        <w:t xml:space="preserve"> d</w:t>
      </w:r>
      <w:r w:rsidRPr="00837746">
        <w:rPr>
          <w:rFonts w:eastAsia="Times New Roman" w:cstheme="minorHAnsi"/>
          <w:lang w:val="es-ES" w:eastAsia="es-AR"/>
        </w:rPr>
        <w:t xml:space="preserve">el total de compras los importes correspondientes a las adquisiciones de bienes de uso, respecto de las cuales se demuestre que han sido pagadas con ingresos adicionales a los obtenidos por las actividades incluidas en el Régimen de </w:t>
      </w:r>
      <w:proofErr w:type="spellStart"/>
      <w:r w:rsidRPr="00837746">
        <w:rPr>
          <w:rFonts w:eastAsia="Times New Roman" w:cstheme="minorHAnsi"/>
          <w:lang w:val="es-ES" w:eastAsia="es-AR"/>
        </w:rPr>
        <w:t>Monotributo</w:t>
      </w:r>
      <w:proofErr w:type="spellEnd"/>
      <w:r w:rsidRPr="00837746">
        <w:rPr>
          <w:rFonts w:eastAsia="Times New Roman" w:cstheme="minorHAnsi"/>
          <w:lang w:val="es-ES" w:eastAsia="es-AR"/>
        </w:rPr>
        <w:t>, y que resulten compatibles con el mismo.</w:t>
      </w:r>
    </w:p>
    <w:p w:rsidR="009B460C" w:rsidRPr="00837746" w:rsidRDefault="00A94D60">
      <w:pPr>
        <w:rPr>
          <w:rFonts w:cstheme="minorHAnsi"/>
        </w:rPr>
      </w:pPr>
    </w:p>
    <w:sectPr w:rsidR="009B460C" w:rsidRPr="008377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46"/>
    <w:rsid w:val="00837746"/>
    <w:rsid w:val="00A94D60"/>
    <w:rsid w:val="00D81DB9"/>
    <w:rsid w:val="00F1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B3E3"/>
  <w15:chartTrackingRefBased/>
  <w15:docId w15:val="{A04B1586-D4ED-41D5-A3A9-96105F93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</dc:creator>
  <cp:keywords/>
  <dc:description/>
  <cp:lastModifiedBy>Lau</cp:lastModifiedBy>
  <cp:revision>1</cp:revision>
  <dcterms:created xsi:type="dcterms:W3CDTF">2020-09-30T14:10:00Z</dcterms:created>
  <dcterms:modified xsi:type="dcterms:W3CDTF">2020-09-30T14:40:00Z</dcterms:modified>
</cp:coreProperties>
</file>